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056D4504" w:rsidR="005E0CC3" w:rsidRPr="00946FD0" w:rsidRDefault="005E0CC3" w:rsidP="005E0CC3">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Pr="00B118A1">
        <w:rPr>
          <w:rFonts w:ascii="Arial" w:eastAsia="等线" w:hAnsi="Arial"/>
          <w:b/>
          <w:noProof/>
          <w:sz w:val="24"/>
          <w:szCs w:val="21"/>
        </w:rPr>
        <w:t>12</w:t>
      </w:r>
      <w:r>
        <w:rPr>
          <w:rFonts w:ascii="Arial" w:eastAsia="等线" w:hAnsi="Arial"/>
          <w:b/>
          <w:noProof/>
          <w:sz w:val="24"/>
          <w:szCs w:val="21"/>
        </w:rPr>
        <w:t>9bis</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BA5F09" w:rsidRPr="00BA5F09">
        <w:rPr>
          <w:rFonts w:ascii="Arial" w:eastAsia="等线" w:hAnsi="Arial"/>
          <w:b/>
          <w:noProof/>
          <w:sz w:val="24"/>
          <w:szCs w:val="21"/>
        </w:rPr>
        <w:t>R2-2501774</w:t>
      </w:r>
    </w:p>
    <w:p w14:paraId="076D1C32" w14:textId="28A615BB" w:rsidR="005E0CC3" w:rsidRPr="002D024B" w:rsidRDefault="005E0CC3" w:rsidP="005E0CC3">
      <w:pPr>
        <w:tabs>
          <w:tab w:val="left" w:pos="1985"/>
          <w:tab w:val="left" w:pos="8931"/>
        </w:tabs>
        <w:adjustRightInd w:val="0"/>
        <w:snapToGrid w:val="0"/>
        <w:spacing w:after="0" w:line="240" w:lineRule="auto"/>
        <w:rPr>
          <w:rFonts w:ascii="Arial" w:eastAsia="等线" w:hAnsi="Arial"/>
          <w:b/>
          <w:sz w:val="24"/>
          <w:szCs w:val="21"/>
        </w:rPr>
      </w:pPr>
      <w:r w:rsidRPr="00C52DB3">
        <w:rPr>
          <w:rFonts w:ascii="Arial" w:eastAsia="等线" w:hAnsi="Arial"/>
          <w:b/>
          <w:sz w:val="24"/>
          <w:szCs w:val="21"/>
        </w:rPr>
        <w:t>Wuhan</w:t>
      </w:r>
      <w:r w:rsidRPr="008E02A8">
        <w:rPr>
          <w:rFonts w:ascii="Arial" w:eastAsia="等线" w:hAnsi="Arial"/>
          <w:b/>
          <w:sz w:val="24"/>
          <w:szCs w:val="21"/>
        </w:rPr>
        <w:t xml:space="preserve">, </w:t>
      </w:r>
      <w:r>
        <w:rPr>
          <w:rFonts w:ascii="Arial" w:eastAsia="等线" w:hAnsi="Arial"/>
          <w:b/>
          <w:sz w:val="24"/>
          <w:szCs w:val="21"/>
        </w:rPr>
        <w:t>China</w:t>
      </w:r>
      <w:r w:rsidRPr="009D0BF3">
        <w:rPr>
          <w:rFonts w:ascii="Arial" w:eastAsia="等线" w:hAnsi="Arial"/>
          <w:b/>
          <w:sz w:val="24"/>
          <w:szCs w:val="21"/>
        </w:rPr>
        <w:t xml:space="preserve">, </w:t>
      </w:r>
      <w:r>
        <w:rPr>
          <w:rFonts w:ascii="Arial" w:eastAsia="等线" w:hAnsi="Arial"/>
          <w:b/>
          <w:sz w:val="24"/>
          <w:szCs w:val="21"/>
        </w:rPr>
        <w:t>A</w:t>
      </w:r>
      <w:r>
        <w:rPr>
          <w:rFonts w:ascii="Arial" w:eastAsia="等线" w:hAnsi="Arial" w:hint="eastAsia"/>
          <w:b/>
          <w:sz w:val="24"/>
          <w:szCs w:val="21"/>
          <w:lang w:eastAsia="zh-CN"/>
        </w:rPr>
        <w:t>pril</w:t>
      </w:r>
      <w:r w:rsidRPr="009D0BF3">
        <w:rPr>
          <w:rFonts w:ascii="Arial" w:eastAsia="等线" w:hAnsi="Arial"/>
          <w:b/>
          <w:sz w:val="24"/>
          <w:szCs w:val="21"/>
        </w:rPr>
        <w:t xml:space="preserve"> </w:t>
      </w:r>
      <w:r>
        <w:rPr>
          <w:rFonts w:ascii="Arial" w:eastAsia="等线" w:hAnsi="Arial"/>
          <w:b/>
          <w:sz w:val="24"/>
          <w:szCs w:val="21"/>
        </w:rPr>
        <w:t>7</w:t>
      </w:r>
      <w:r w:rsidRPr="009D0BF3">
        <w:rPr>
          <w:rFonts w:ascii="Arial" w:eastAsia="等线" w:hAnsi="Arial"/>
          <w:b/>
          <w:sz w:val="24"/>
          <w:szCs w:val="21"/>
          <w:vertAlign w:val="superscript"/>
        </w:rPr>
        <w:t>th</w:t>
      </w:r>
      <w:r w:rsidRPr="009D0BF3">
        <w:rPr>
          <w:rFonts w:ascii="Arial" w:eastAsia="等线" w:hAnsi="Arial"/>
          <w:b/>
          <w:sz w:val="24"/>
          <w:szCs w:val="21"/>
        </w:rPr>
        <w:t xml:space="preserve">– </w:t>
      </w:r>
      <w:r>
        <w:rPr>
          <w:rFonts w:ascii="Arial" w:eastAsia="等线" w:hAnsi="Arial"/>
          <w:b/>
          <w:sz w:val="24"/>
          <w:szCs w:val="21"/>
        </w:rPr>
        <w:t>11</w:t>
      </w:r>
      <w:proofErr w:type="gramStart"/>
      <w:r w:rsidR="00947DB6" w:rsidRPr="00947DB6">
        <w:rPr>
          <w:rFonts w:ascii="Arial" w:eastAsia="等线" w:hAnsi="Arial" w:hint="eastAsia"/>
          <w:b/>
          <w:sz w:val="24"/>
          <w:szCs w:val="21"/>
          <w:vertAlign w:val="superscript"/>
          <w:lang w:eastAsia="zh-CN"/>
        </w:rPr>
        <w:t>th</w:t>
      </w:r>
      <w:r w:rsidR="00947DB6">
        <w:rPr>
          <w:rFonts w:ascii="Arial" w:eastAsia="等线" w:hAnsi="Arial" w:hint="eastAsia"/>
          <w:b/>
          <w:sz w:val="24"/>
          <w:szCs w:val="21"/>
          <w:lang w:eastAsia="zh-CN"/>
        </w:rPr>
        <w:t xml:space="preserve"> </w:t>
      </w:r>
      <w:r w:rsidRPr="009D0BF3">
        <w:rPr>
          <w:rFonts w:ascii="Arial" w:eastAsia="等线" w:hAnsi="Arial"/>
          <w:b/>
          <w:sz w:val="24"/>
          <w:szCs w:val="21"/>
        </w:rPr>
        <w:t>,</w:t>
      </w:r>
      <w:proofErr w:type="gramEnd"/>
      <w:r w:rsidRPr="009D0BF3">
        <w:rPr>
          <w:rFonts w:ascii="Arial" w:eastAsia="等线" w:hAnsi="Arial"/>
          <w:b/>
          <w:sz w:val="24"/>
          <w:szCs w:val="21"/>
        </w:rPr>
        <w:t xml:space="preserve"> 202</w:t>
      </w:r>
      <w:r>
        <w:rPr>
          <w:rFonts w:ascii="Arial" w:eastAsia="等线" w:hAnsi="Arial"/>
          <w:b/>
          <w:sz w:val="24"/>
          <w:szCs w:val="21"/>
        </w:rPr>
        <w:t>5</w:t>
      </w:r>
      <w:r w:rsidRPr="009D0BF3">
        <w:rPr>
          <w:rFonts w:ascii="Arial" w:eastAsia="等线" w:hAnsi="Arial"/>
          <w:b/>
          <w:sz w:val="24"/>
          <w:szCs w:val="21"/>
        </w:rPr>
        <w:t xml:space="preserve"> </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5F1B1176"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8.8.</w:t>
      </w:r>
      <w:r w:rsidR="00A14142">
        <w:rPr>
          <w:rFonts w:ascii="Arial" w:hAnsi="Arial" w:cs="Arial"/>
          <w:b/>
          <w:bCs/>
          <w:sz w:val="24"/>
          <w:szCs w:val="24"/>
          <w:lang w:val="en-US"/>
        </w:rPr>
        <w:t>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4A64EF3E"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BA5F09" w:rsidRPr="00BA5F09">
        <w:rPr>
          <w:rFonts w:ascii="Arial" w:hAnsi="Arial" w:cs="Arial"/>
          <w:b/>
          <w:bCs/>
          <w:sz w:val="24"/>
          <w:szCs w:val="24"/>
          <w:lang w:val="en-US"/>
        </w:rPr>
        <w:t>Discussion on DL Coverage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412678C8"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w:t>
      </w:r>
      <w:r w:rsidR="00651F76">
        <w:rPr>
          <w:rStyle w:val="IvDbodytextChar"/>
          <w:rFonts w:ascii="Times New Roman" w:hAnsi="Times New Roman" w:cs="Times New Roman"/>
          <w:sz w:val="20"/>
          <w:szCs w:val="20"/>
          <w:lang w:eastAsia="zh-CN"/>
        </w:rPr>
        <w:t xml:space="preserve"> </w:t>
      </w:r>
      <w:r w:rsidR="002A7A7A">
        <w:rPr>
          <w:rStyle w:val="IvDbodytextChar"/>
          <w:rFonts w:ascii="Times New Roman" w:hAnsi="Times New Roman" w:cs="Times New Roman"/>
          <w:sz w:val="20"/>
          <w:szCs w:val="20"/>
          <w:lang w:eastAsia="zh-CN"/>
        </w:rPr>
        <w:t>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8C7A93">
        <w:rPr>
          <w:rStyle w:val="IvDbodytextChar"/>
          <w:rFonts w:ascii="Times New Roman" w:hAnsi="Times New Roman" w:cs="Times New Roman"/>
          <w:sz w:val="20"/>
          <w:szCs w:val="20"/>
          <w:lang w:eastAsia="zh-CN"/>
        </w:rPr>
        <w:t>2</w:t>
      </w:r>
      <w:r w:rsidR="00F46BA2">
        <w:rPr>
          <w:rStyle w:val="IvDbodytextChar"/>
          <w:rFonts w:ascii="Times New Roman" w:hAnsi="Times New Roman" w:cs="Times New Roman"/>
          <w:sz w:val="20"/>
          <w:szCs w:val="20"/>
          <w:lang w:eastAsia="zh-CN"/>
        </w:rPr>
        <w:t>9</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651F76">
        <w:rPr>
          <w:rStyle w:val="IvDbodytextChar"/>
          <w:rFonts w:ascii="Times New Roman" w:hAnsi="Times New Roman" w:cs="Times New Roman"/>
          <w:sz w:val="20"/>
          <w:szCs w:val="20"/>
          <w:lang w:eastAsia="zh-CN"/>
        </w:rPr>
        <w:t xml:space="preserve">the issue </w:t>
      </w:r>
      <w:r w:rsidR="0073775E">
        <w:rPr>
          <w:rStyle w:val="IvDbodytextChar"/>
          <w:rFonts w:ascii="Times New Roman" w:hAnsi="Times New Roman" w:cs="Times New Roman"/>
          <w:sz w:val="20"/>
          <w:szCs w:val="20"/>
          <w:lang w:eastAsia="zh-CN"/>
        </w:rPr>
        <w:t>of</w:t>
      </w:r>
      <w:r w:rsidR="00651F76">
        <w:rPr>
          <w:rStyle w:val="IvDbodytextChar"/>
          <w:rFonts w:ascii="Times New Roman" w:hAnsi="Times New Roman" w:cs="Times New Roman"/>
          <w:sz w:val="20"/>
          <w:szCs w:val="20"/>
          <w:lang w:eastAsia="zh-CN"/>
        </w:rPr>
        <w:t xml:space="preserve"> DL coverage enhancement was discussed and the following agreements were made</w:t>
      </w:r>
      <w:r w:rsidR="0017342D">
        <w:rPr>
          <w:rStyle w:val="IvDbodytextChar"/>
          <w:rFonts w:ascii="Times New Roman"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342D" w14:paraId="51C50C51" w14:textId="77777777" w:rsidTr="0017342D">
        <w:tc>
          <w:tcPr>
            <w:tcW w:w="9629" w:type="dxa"/>
          </w:tcPr>
          <w:p w14:paraId="65A87A65" w14:textId="77777777" w:rsidR="00651F76" w:rsidRPr="00651F76" w:rsidRDefault="00651F76" w:rsidP="00651F76">
            <w:pPr>
              <w:tabs>
                <w:tab w:val="left" w:pos="1619"/>
              </w:tabs>
              <w:spacing w:before="60" w:after="0" w:line="240" w:lineRule="auto"/>
              <w:rPr>
                <w:rFonts w:eastAsia="MS Mincho"/>
                <w:b/>
                <w:szCs w:val="24"/>
                <w:lang w:eastAsia="en-GB"/>
              </w:rPr>
            </w:pPr>
            <w:r w:rsidRPr="00651F76">
              <w:rPr>
                <w:rFonts w:eastAsia="MS Mincho"/>
                <w:b/>
                <w:szCs w:val="24"/>
                <w:lang w:eastAsia="en-GB"/>
              </w:rPr>
              <w:t>Agreements:</w:t>
            </w:r>
          </w:p>
          <w:p w14:paraId="0B6C5354" w14:textId="64857C16" w:rsidR="00651F76" w:rsidRPr="00693EAB" w:rsidRDefault="00651F76" w:rsidP="00651F76">
            <w:pPr>
              <w:tabs>
                <w:tab w:val="left" w:pos="1619"/>
              </w:tabs>
              <w:spacing w:before="60" w:after="0" w:line="240" w:lineRule="auto"/>
              <w:rPr>
                <w:rFonts w:eastAsia="MS Mincho"/>
                <w:bCs/>
                <w:szCs w:val="24"/>
                <w:lang w:eastAsia="en-GB"/>
              </w:rPr>
            </w:pPr>
            <w:r w:rsidRPr="00693EAB">
              <w:rPr>
                <w:rFonts w:eastAsia="MS Mincho"/>
                <w:bCs/>
                <w:szCs w:val="24"/>
                <w:lang w:eastAsia="en-GB"/>
              </w:rPr>
              <w:t>1. RAN2 assumes it will be possible to have different SSB periodicity among neighbour cells in the same frequency layer</w:t>
            </w:r>
          </w:p>
          <w:p w14:paraId="55C580CD" w14:textId="576EB5AC" w:rsidR="00651F76" w:rsidRPr="00693EAB" w:rsidRDefault="00651F76" w:rsidP="00651F76">
            <w:pPr>
              <w:tabs>
                <w:tab w:val="left" w:pos="1619"/>
              </w:tabs>
              <w:spacing w:before="60" w:after="0" w:line="240" w:lineRule="auto"/>
              <w:rPr>
                <w:rFonts w:eastAsia="MS Mincho"/>
                <w:bCs/>
                <w:szCs w:val="24"/>
                <w:lang w:eastAsia="en-GB"/>
              </w:rPr>
            </w:pPr>
            <w:r w:rsidRPr="00693EAB">
              <w:rPr>
                <w:rFonts w:eastAsia="MS Mincho"/>
                <w:bCs/>
                <w:szCs w:val="24"/>
                <w:lang w:eastAsia="en-GB"/>
              </w:rPr>
              <w:t>2. RAN2 assumes that in a NR NTN cell, SSB beam sweeping in different spatial directions is possible as in a NR TN cell: the whole cell is covered by the different SSB beams in half-frame</w:t>
            </w:r>
          </w:p>
          <w:p w14:paraId="14EB16A9" w14:textId="23375EC1" w:rsidR="00651F76" w:rsidRPr="00693EAB" w:rsidRDefault="00651F76" w:rsidP="00651F76">
            <w:pPr>
              <w:tabs>
                <w:tab w:val="left" w:pos="1619"/>
              </w:tabs>
              <w:spacing w:before="60" w:after="0" w:line="240" w:lineRule="auto"/>
              <w:rPr>
                <w:rFonts w:eastAsia="MS Mincho"/>
                <w:bCs/>
                <w:szCs w:val="24"/>
                <w:lang w:eastAsia="en-GB"/>
              </w:rPr>
            </w:pPr>
            <w:r w:rsidRPr="00693EAB">
              <w:rPr>
                <w:rFonts w:eastAsia="MS Mincho"/>
                <w:bCs/>
                <w:szCs w:val="24"/>
                <w:lang w:eastAsia="en-GB"/>
              </w:rPr>
              <w:t>3. RAN2 also assumes that, with the current status of RAN1 discussion, if one cell is defined by multiple “satellite beams”, the satellite beams are all simultaneously active or inactive (“beam hopping” applies equally to all the satellite beams of a given cell)</w:t>
            </w:r>
          </w:p>
          <w:p w14:paraId="19D1113C" w14:textId="51BAAC82" w:rsidR="00651F76" w:rsidRPr="00693EAB" w:rsidRDefault="00651F76" w:rsidP="00651F76">
            <w:pPr>
              <w:tabs>
                <w:tab w:val="left" w:pos="1619"/>
              </w:tabs>
              <w:spacing w:before="60" w:after="0" w:line="240" w:lineRule="auto"/>
              <w:rPr>
                <w:rFonts w:eastAsia="MS Mincho"/>
                <w:bCs/>
                <w:szCs w:val="24"/>
                <w:lang w:eastAsia="en-GB"/>
              </w:rPr>
            </w:pPr>
            <w:r w:rsidRPr="00693EAB">
              <w:rPr>
                <w:rFonts w:eastAsia="MS Mincho"/>
                <w:bCs/>
                <w:szCs w:val="24"/>
                <w:lang w:eastAsia="en-GB"/>
              </w:rPr>
              <w:t>4. The number of SMTC/gaps a UE needs to consider at any time will not be increased further</w:t>
            </w:r>
          </w:p>
          <w:p w14:paraId="048EFB59" w14:textId="1235D3A5" w:rsidR="00651F76" w:rsidRPr="00693EAB" w:rsidRDefault="00651F76" w:rsidP="00651F76">
            <w:pPr>
              <w:tabs>
                <w:tab w:val="left" w:pos="1619"/>
              </w:tabs>
              <w:spacing w:before="60" w:after="0" w:line="240" w:lineRule="auto"/>
              <w:rPr>
                <w:rFonts w:eastAsia="MS Mincho"/>
                <w:bCs/>
                <w:szCs w:val="24"/>
                <w:lang w:eastAsia="en-GB"/>
              </w:rPr>
            </w:pPr>
            <w:r w:rsidRPr="00693EAB">
              <w:rPr>
                <w:rFonts w:eastAsia="MS Mincho"/>
                <w:bCs/>
                <w:szCs w:val="24"/>
                <w:lang w:eastAsia="en-GB"/>
              </w:rPr>
              <w:t>5. From RAN2 perspective, we support option a (clustered cells illuminated) and option b (scattered cells illuminated) for further discussion on SMTC. No LS is sent to RAN1.</w:t>
            </w:r>
          </w:p>
          <w:p w14:paraId="7C4D42EB" w14:textId="7D9C56A4" w:rsidR="00651F76" w:rsidRPr="00693EAB" w:rsidRDefault="00651F76" w:rsidP="00651F76">
            <w:pPr>
              <w:tabs>
                <w:tab w:val="left" w:pos="1619"/>
              </w:tabs>
              <w:spacing w:before="60" w:after="0" w:line="240" w:lineRule="auto"/>
              <w:rPr>
                <w:rFonts w:eastAsia="MS Mincho"/>
                <w:bCs/>
                <w:szCs w:val="24"/>
                <w:lang w:eastAsia="en-GB"/>
              </w:rPr>
            </w:pPr>
            <w:r w:rsidRPr="00693EAB">
              <w:rPr>
                <w:rFonts w:eastAsia="MS Mincho"/>
                <w:bCs/>
                <w:szCs w:val="24"/>
                <w:lang w:eastAsia="en-GB"/>
              </w:rPr>
              <w:t>6. RAN2 observes that if the cells active simultaneously are in clusters, existing SMTC mechanism (a maximum of 4 SMTCs per frequency) may be sufficient (FFS if any solution identified for option b applies to option a as well).</w:t>
            </w:r>
          </w:p>
          <w:p w14:paraId="2976E893" w14:textId="42594689" w:rsidR="0017342D" w:rsidRPr="005E0CC3" w:rsidRDefault="00651F76" w:rsidP="00651F76">
            <w:pPr>
              <w:tabs>
                <w:tab w:val="left" w:pos="1619"/>
              </w:tabs>
              <w:spacing w:before="60" w:after="0" w:line="240" w:lineRule="auto"/>
              <w:rPr>
                <w:rStyle w:val="IvDbodytextChar"/>
                <w:rFonts w:ascii="Times New Roman" w:eastAsia="MS Mincho" w:hAnsi="Times New Roman" w:cs="Times New Roman"/>
                <w:i/>
                <w:spacing w:val="0"/>
                <w:kern w:val="0"/>
                <w:sz w:val="20"/>
                <w:szCs w:val="20"/>
                <w:lang w:eastAsia="en-GB"/>
              </w:rPr>
            </w:pPr>
            <w:r w:rsidRPr="00693EAB">
              <w:rPr>
                <w:rFonts w:eastAsia="MS Mincho"/>
                <w:bCs/>
                <w:szCs w:val="24"/>
                <w:lang w:eastAsia="en-GB"/>
              </w:rPr>
              <w:t xml:space="preserve">7. </w:t>
            </w:r>
            <w:r w:rsidRPr="00693EAB">
              <w:rPr>
                <w:rFonts w:eastAsia="MS Mincho"/>
                <w:bCs/>
                <w:szCs w:val="24"/>
                <w:highlight w:val="yellow"/>
                <w:lang w:eastAsia="en-GB"/>
              </w:rPr>
              <w:t>RAN2 observes that if the cells active simultaneously are scattered, (for the case of intra-frequency neighbouring cells), the SSBs of surrounding neighbour cells may be transmitted at different times and existing SMTC mechanism may not be enough.</w:t>
            </w:r>
          </w:p>
        </w:tc>
      </w:tr>
    </w:tbl>
    <w:p w14:paraId="7E41DF09" w14:textId="67926C59" w:rsidR="00DC5670" w:rsidRPr="00B2458E" w:rsidRDefault="00A917F3" w:rsidP="002E6813">
      <w:pPr>
        <w:spacing w:before="120" w:after="120" w:line="240" w:lineRule="auto"/>
        <w:jc w:val="both"/>
      </w:pPr>
      <w:r>
        <w:t xml:space="preserve">However, it was still unclear </w:t>
      </w:r>
      <w:r w:rsidR="00CA6D4C">
        <w:t>whether</w:t>
      </w:r>
      <w:r>
        <w:t xml:space="preserve"> the </w:t>
      </w:r>
      <w:r w:rsidR="00604BAD">
        <w:t>SMTC enhancement is needed for option b, i.e., the scattered cells illuminated in both the IDLE state and the CONNECTED state</w:t>
      </w:r>
      <w:r w:rsidR="0033698B">
        <w:t xml:space="preserve"> and how to address the issue</w:t>
      </w:r>
      <w:r w:rsidR="00604BAD">
        <w:t xml:space="preserve">. </w:t>
      </w:r>
      <w:r w:rsidR="00D139B4" w:rsidRPr="00B2458E">
        <w:t xml:space="preserve">In the contribution, we </w:t>
      </w:r>
      <w:r w:rsidR="001453F8">
        <w:t xml:space="preserve">will </w:t>
      </w:r>
      <w:r w:rsidR="00604BAD">
        <w:t xml:space="preserve">continue to </w:t>
      </w:r>
      <w:r w:rsidR="00CA2058">
        <w:t>analy</w:t>
      </w:r>
      <w:r w:rsidR="00A21AA6">
        <w:t>z</w:t>
      </w:r>
      <w:r w:rsidR="00CA2058">
        <w:t>e</w:t>
      </w:r>
      <w:r w:rsidR="005473D0">
        <w:t xml:space="preserve"> </w:t>
      </w:r>
      <w:r w:rsidR="00604BAD">
        <w:t xml:space="preserve">the issue and give our views. </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3770F0C2" w14:textId="2CEE61E4" w:rsidR="00BA759C" w:rsidRDefault="00076321" w:rsidP="002E6813">
      <w:pPr>
        <w:spacing w:after="120" w:line="240" w:lineRule="auto"/>
        <w:jc w:val="both"/>
      </w:pPr>
      <w:r>
        <w:t xml:space="preserve">In RAN2#129, </w:t>
      </w:r>
      <w:r w:rsidR="00BA759C">
        <w:t xml:space="preserve">based on the offline discussion report [2], the following candidate solutions were proposed on the issue that the SSBs of surrounding cells may be transmitted at different times and existing SMTC mechanisms may not be enough if the cells active simultaneously are scattered. </w:t>
      </w:r>
    </w:p>
    <w:tbl>
      <w:tblPr>
        <w:tblStyle w:val="af3"/>
        <w:tblW w:w="0" w:type="auto"/>
        <w:tblLook w:val="04A0" w:firstRow="1" w:lastRow="0" w:firstColumn="1" w:lastColumn="0" w:noHBand="0" w:noVBand="1"/>
      </w:tblPr>
      <w:tblGrid>
        <w:gridCol w:w="9629"/>
      </w:tblGrid>
      <w:tr w:rsidR="00BA759C" w14:paraId="4412BCA0" w14:textId="77777777" w:rsidTr="00BA759C">
        <w:tc>
          <w:tcPr>
            <w:tcW w:w="9629" w:type="dxa"/>
          </w:tcPr>
          <w:p w14:paraId="1DDB310D" w14:textId="77777777" w:rsidR="00BA759C" w:rsidRPr="00BA759C" w:rsidRDefault="00BA759C" w:rsidP="00BA759C">
            <w:pPr>
              <w:overflowPunct w:val="0"/>
              <w:autoSpaceDE w:val="0"/>
              <w:autoSpaceDN w:val="0"/>
              <w:adjustRightInd w:val="0"/>
              <w:spacing w:line="240" w:lineRule="auto"/>
              <w:textAlignment w:val="baseline"/>
              <w:rPr>
                <w:rFonts w:eastAsia="宋体"/>
                <w:lang w:eastAsia="zh-CN"/>
              </w:rPr>
            </w:pPr>
            <w:r w:rsidRPr="00BA759C">
              <w:rPr>
                <w:rFonts w:eastAsia="宋体"/>
                <w:lang w:eastAsia="zh-CN"/>
              </w:rPr>
              <w:t>1. Configure multiple SMTCs (more than 4) and SMTC selection (e.g. location-based SMTC selection, UE autonomous selection)</w:t>
            </w:r>
          </w:p>
          <w:p w14:paraId="7CF57AEA" w14:textId="77777777" w:rsidR="00BA759C" w:rsidRPr="00BA759C" w:rsidRDefault="00BA759C" w:rsidP="00BA759C">
            <w:pPr>
              <w:overflowPunct w:val="0"/>
              <w:autoSpaceDE w:val="0"/>
              <w:autoSpaceDN w:val="0"/>
              <w:adjustRightInd w:val="0"/>
              <w:spacing w:line="240" w:lineRule="auto"/>
              <w:textAlignment w:val="baseline"/>
              <w:rPr>
                <w:rFonts w:eastAsia="宋体"/>
                <w:lang w:eastAsia="zh-CN"/>
              </w:rPr>
            </w:pPr>
            <w:r w:rsidRPr="00BA759C">
              <w:rPr>
                <w:rFonts w:eastAsia="宋体"/>
                <w:lang w:eastAsia="zh-CN"/>
              </w:rPr>
              <w:t>2. SSB-specific SMTC</w:t>
            </w:r>
          </w:p>
          <w:p w14:paraId="70794FE0" w14:textId="77777777" w:rsidR="00BA759C" w:rsidRPr="00BA759C" w:rsidRDefault="00BA759C" w:rsidP="00BA759C">
            <w:pPr>
              <w:overflowPunct w:val="0"/>
              <w:autoSpaceDE w:val="0"/>
              <w:autoSpaceDN w:val="0"/>
              <w:adjustRightInd w:val="0"/>
              <w:spacing w:line="240" w:lineRule="auto"/>
              <w:textAlignment w:val="baseline"/>
              <w:rPr>
                <w:rFonts w:eastAsia="宋体"/>
                <w:lang w:eastAsia="zh-CN"/>
              </w:rPr>
            </w:pPr>
            <w:r w:rsidRPr="00BA759C">
              <w:rPr>
                <w:rFonts w:eastAsia="宋体"/>
                <w:lang w:eastAsia="zh-CN"/>
              </w:rPr>
              <w:t>3. UE assistance information reporting</w:t>
            </w:r>
          </w:p>
          <w:p w14:paraId="1F48B9F5" w14:textId="1F95948D" w:rsidR="00BA759C" w:rsidRPr="00BA759C" w:rsidRDefault="00BA759C" w:rsidP="00BA759C">
            <w:pPr>
              <w:overflowPunct w:val="0"/>
              <w:autoSpaceDE w:val="0"/>
              <w:autoSpaceDN w:val="0"/>
              <w:adjustRightInd w:val="0"/>
              <w:spacing w:line="240" w:lineRule="auto"/>
              <w:textAlignment w:val="baseline"/>
              <w:rPr>
                <w:rFonts w:eastAsia="宋体"/>
                <w:lang w:eastAsia="zh-CN"/>
              </w:rPr>
            </w:pPr>
            <w:r w:rsidRPr="00BA759C">
              <w:rPr>
                <w:rFonts w:eastAsia="宋体"/>
                <w:lang w:eastAsia="zh-CN"/>
              </w:rPr>
              <w:t>4. Configure one SMTC with small periodicity, in each period (SMTC occasion) UE is indicated which PCI to use</w:t>
            </w:r>
          </w:p>
        </w:tc>
      </w:tr>
    </w:tbl>
    <w:p w14:paraId="4926F670" w14:textId="2A5D8A8D" w:rsidR="00BA759C" w:rsidRDefault="006F5561" w:rsidP="00FE2063">
      <w:pPr>
        <w:spacing w:before="120" w:after="120" w:line="240" w:lineRule="auto"/>
        <w:jc w:val="both"/>
      </w:pPr>
      <w:r>
        <w:t>The above solutions do not apply to the same scenario, i.e., IDLE or CONNECTED</w:t>
      </w:r>
      <w:r w:rsidR="007D73FB">
        <w:t xml:space="preserve">, thus to be more specific, we will continue to discuss separately for IDLE and CONNECTED state. </w:t>
      </w:r>
    </w:p>
    <w:p w14:paraId="47E2562E" w14:textId="57B1B75D" w:rsidR="007D73FB" w:rsidRPr="007D73FB" w:rsidRDefault="007D73FB" w:rsidP="00F74E1B">
      <w:pPr>
        <w:spacing w:after="120" w:line="240" w:lineRule="auto"/>
        <w:jc w:val="both"/>
        <w:rPr>
          <w:b/>
          <w:bCs/>
          <w:i/>
          <w:iCs/>
          <w:u w:val="single"/>
        </w:rPr>
      </w:pPr>
      <w:r w:rsidRPr="007D73FB">
        <w:rPr>
          <w:b/>
          <w:bCs/>
          <w:i/>
          <w:iCs/>
          <w:u w:val="single"/>
        </w:rPr>
        <w:t>For RRC IDLE state:</w:t>
      </w:r>
    </w:p>
    <w:p w14:paraId="786ED6A5" w14:textId="7FA630C1" w:rsidR="00752C33" w:rsidRDefault="007D73FB" w:rsidP="00F74E1B">
      <w:pPr>
        <w:spacing w:after="120" w:line="240" w:lineRule="auto"/>
        <w:jc w:val="both"/>
      </w:pPr>
      <w:r>
        <w:t xml:space="preserve">For IDLE state, </w:t>
      </w:r>
      <w:r w:rsidR="00AF3ADE">
        <w:t xml:space="preserve">there is no need for UE and NW to have the same understanding of the SMTC configurations. That is, UE can </w:t>
      </w:r>
      <w:r w:rsidR="00145219">
        <w:t xml:space="preserve">decide which SMTC to choose or how to adjust the SMTC configurations based on UE’s location. In general, the above option 1, option 2, and option 4 can work </w:t>
      </w:r>
      <w:r w:rsidR="00D11B9B">
        <w:t xml:space="preserve">for IDLE state to address the issue that the SSBs of surrounding cells may be transmitted at different times. </w:t>
      </w:r>
    </w:p>
    <w:p w14:paraId="57D44C7E" w14:textId="40CE763E" w:rsidR="007D73FB" w:rsidRDefault="00A5661F" w:rsidP="00F74E1B">
      <w:pPr>
        <w:spacing w:after="120" w:line="240" w:lineRule="auto"/>
        <w:jc w:val="both"/>
      </w:pPr>
      <w:r>
        <w:lastRenderedPageBreak/>
        <w:t xml:space="preserve">As for option 1, </w:t>
      </w:r>
      <w:r w:rsidR="00C32DCE">
        <w:t xml:space="preserve">the spec impact is quite large, i.e., </w:t>
      </w:r>
      <w:r>
        <w:t>it</w:t>
      </w:r>
      <w:r w:rsidR="00D11B9B">
        <w:t xml:space="preserve"> requires the NW to configure multiple SMTC</w:t>
      </w:r>
      <w:r w:rsidR="007F7977">
        <w:t xml:space="preserve">s, the reference location and also the location threshold for UEs </w:t>
      </w:r>
      <w:r w:rsidR="00752C33">
        <w:t xml:space="preserve">associated with each SMTC configuration, </w:t>
      </w:r>
      <w:r w:rsidR="007F7977">
        <w:t>so that UE can decide which</w:t>
      </w:r>
      <w:r w:rsidR="00752C33">
        <w:t xml:space="preserve"> SMTC is used</w:t>
      </w:r>
      <w:r w:rsidR="00A106AB">
        <w:t>. Further, the UE behaviour is quite complicated since UE</w:t>
      </w:r>
      <w:r w:rsidR="00C32DCE">
        <w:t xml:space="preserve"> need</w:t>
      </w:r>
      <w:r w:rsidR="002E6813">
        <w:t>s</w:t>
      </w:r>
      <w:r w:rsidR="00C32DCE">
        <w:t xml:space="preserve"> to</w:t>
      </w:r>
      <w:r w:rsidR="007A0440">
        <w:t xml:space="preserve"> </w:t>
      </w:r>
      <w:r w:rsidR="00C32DCE">
        <w:t xml:space="preserve">evaluate the distance and decide which SMTC(s) is used. </w:t>
      </w:r>
      <w:r w:rsidR="00274BA9">
        <w:t xml:space="preserve">As for option 2, this quite depends on the satellite cell/satellite beam/NR beam deployment scenario, only if the NR SSBs </w:t>
      </w:r>
      <w:r w:rsidR="00ED6BEB">
        <w:t>are</w:t>
      </w:r>
      <w:r w:rsidR="00274BA9">
        <w:t xml:space="preserve"> associated with satellite beams, then the solution </w:t>
      </w:r>
      <w:r w:rsidR="00ED6BEB">
        <w:t>work</w:t>
      </w:r>
      <w:r w:rsidR="00274BA9">
        <w:t xml:space="preserve">. </w:t>
      </w:r>
      <w:r w:rsidR="00417334">
        <w:t xml:space="preserve">As for </w:t>
      </w:r>
      <w:r w:rsidR="00ED6BEB">
        <w:t xml:space="preserve">option 4, </w:t>
      </w:r>
      <w:r w:rsidR="00417334">
        <w:t xml:space="preserve">even NW can indicate which period is associated with which PCI so that UE can directly decide which SMTC period is needed, but the </w:t>
      </w:r>
      <w:r w:rsidR="00D93279">
        <w:t>spec impact is also i</w:t>
      </w:r>
      <w:r w:rsidR="00D93279" w:rsidRPr="00D93279">
        <w:t>nevitable</w:t>
      </w:r>
      <w:r w:rsidR="00D93279">
        <w:t xml:space="preserve">, i.e., how to associate the SMTC period with the corresponding PCIs. </w:t>
      </w:r>
      <w:r w:rsidR="00CB7CED">
        <w:t>Besides, configuring small SMTC periodicity may lead to more UE power consumption, since UE need</w:t>
      </w:r>
      <w:r w:rsidR="002E6813">
        <w:t>s</w:t>
      </w:r>
      <w:r w:rsidR="00CB7CED">
        <w:t xml:space="preserve"> to meas</w:t>
      </w:r>
      <w:r w:rsidR="002E6813">
        <w:t>ure</w:t>
      </w:r>
      <w:r w:rsidR="00CB7CED">
        <w:t xml:space="preserve"> each SMTC period. From our perspective, more su</w:t>
      </w:r>
      <w:r w:rsidR="002E6813">
        <w:t>ita</w:t>
      </w:r>
      <w:r w:rsidR="00CB7CED">
        <w:t xml:space="preserve">ble solution is to extend the number of the SMTCs, i.e. by 6 to cover the surrounding neighbour cells of UE. However, extending the number of SMTCs has RAN4 impacts, so it is proposed to send LS to RAN4 to check whether R19 can make such enhancement. </w:t>
      </w:r>
    </w:p>
    <w:p w14:paraId="4A3E8770" w14:textId="14025F69" w:rsidR="007A0440" w:rsidRPr="007A0440" w:rsidRDefault="007A0440" w:rsidP="00EF1BBB">
      <w:pPr>
        <w:spacing w:before="120" w:after="240" w:line="240" w:lineRule="auto"/>
        <w:jc w:val="both"/>
        <w:rPr>
          <w:b/>
          <w:bCs/>
        </w:rPr>
      </w:pPr>
      <w:r w:rsidRPr="007A0440">
        <w:rPr>
          <w:b/>
          <w:bCs/>
        </w:rPr>
        <w:t xml:space="preserve">Proposal 1: </w:t>
      </w:r>
      <w:r w:rsidR="000C1F10">
        <w:rPr>
          <w:b/>
          <w:bCs/>
        </w:rPr>
        <w:t>If RAN2 decide</w:t>
      </w:r>
      <w:r w:rsidR="00EF1BBB">
        <w:rPr>
          <w:b/>
          <w:bCs/>
        </w:rPr>
        <w:t>s</w:t>
      </w:r>
      <w:r w:rsidR="000C1F10">
        <w:rPr>
          <w:b/>
          <w:bCs/>
        </w:rPr>
        <w:t xml:space="preserve"> to extend the number of SMTC, RAN2 send LS to check with RAN4 </w:t>
      </w:r>
      <w:r w:rsidR="00D038FA">
        <w:rPr>
          <w:b/>
          <w:bCs/>
        </w:rPr>
        <w:t>whether</w:t>
      </w:r>
      <w:r w:rsidR="000C1F10">
        <w:rPr>
          <w:b/>
          <w:bCs/>
        </w:rPr>
        <w:t xml:space="preserve"> the enhancement can be done in R19.</w:t>
      </w:r>
      <w:r w:rsidR="00A06C54">
        <w:rPr>
          <w:b/>
          <w:bCs/>
        </w:rPr>
        <w:t xml:space="preserve"> </w:t>
      </w:r>
    </w:p>
    <w:p w14:paraId="70FB83C1" w14:textId="51A0EEB9" w:rsidR="0033698B" w:rsidRPr="007D73FB" w:rsidRDefault="0033698B" w:rsidP="0033698B">
      <w:pPr>
        <w:spacing w:after="120" w:line="240" w:lineRule="auto"/>
        <w:jc w:val="both"/>
        <w:rPr>
          <w:b/>
          <w:bCs/>
          <w:i/>
          <w:iCs/>
          <w:u w:val="single"/>
        </w:rPr>
      </w:pPr>
      <w:r w:rsidRPr="007D73FB">
        <w:rPr>
          <w:b/>
          <w:bCs/>
          <w:i/>
          <w:iCs/>
          <w:u w:val="single"/>
        </w:rPr>
        <w:t xml:space="preserve">For RRC </w:t>
      </w:r>
      <w:r>
        <w:rPr>
          <w:b/>
          <w:bCs/>
          <w:i/>
          <w:iCs/>
          <w:u w:val="single"/>
        </w:rPr>
        <w:t>CONNECTED</w:t>
      </w:r>
      <w:r w:rsidRPr="007D73FB">
        <w:rPr>
          <w:b/>
          <w:bCs/>
          <w:i/>
          <w:iCs/>
          <w:u w:val="single"/>
        </w:rPr>
        <w:t xml:space="preserve"> state:</w:t>
      </w:r>
    </w:p>
    <w:p w14:paraId="105306A2" w14:textId="2568D479" w:rsidR="00D93422" w:rsidRDefault="00AD6E99" w:rsidP="00053592">
      <w:pPr>
        <w:spacing w:after="120" w:line="240" w:lineRule="auto"/>
        <w:jc w:val="both"/>
      </w:pPr>
      <w:r>
        <w:t xml:space="preserve">As for RRC CONNECTED state, option 3 and option 4 apply. </w:t>
      </w:r>
      <w:r w:rsidR="00053592">
        <w:t xml:space="preserve">For option 4, </w:t>
      </w:r>
      <w:r w:rsidR="00D93422">
        <w:t xml:space="preserve">the spec impact is inevitable as the analysis provided above. Besides, the associated PCIs for each SMTC period should be UE-specific to ensure UE and NW have the same understanding. Thus, there is no clear benefit for option 3 rather than NW directly configure the specific SMTCs for each UE based on some assistance information provided by UE. </w:t>
      </w:r>
    </w:p>
    <w:p w14:paraId="5352799D" w14:textId="3A48BA29" w:rsidR="00053592" w:rsidRDefault="00AD6E99" w:rsidP="00053592">
      <w:pPr>
        <w:spacing w:after="120" w:line="240" w:lineRule="auto"/>
        <w:jc w:val="both"/>
      </w:pPr>
      <w:r>
        <w:t>For option 3, UE can provide some assistance information to assist the NW in deciding how to configure the SMTC. According to the spec</w:t>
      </w:r>
      <w:r w:rsidR="00B92ED6">
        <w:t xml:space="preserve"> [3]</w:t>
      </w:r>
      <w:r>
        <w:t xml:space="preserve">, UE can report its coarse UE location to NW </w:t>
      </w:r>
      <w:r w:rsidR="00340513">
        <w:t xml:space="preserve">upon measurement reporting based on measurement configuration or </w:t>
      </w:r>
      <w:r w:rsidR="00365A69">
        <w:t xml:space="preserve">provide its coarse UE location to NW via </w:t>
      </w:r>
      <w:r w:rsidR="00365A69" w:rsidRPr="00B92ED6">
        <w:rPr>
          <w:i/>
          <w:iCs/>
        </w:rPr>
        <w:t>UEInformationResponse</w:t>
      </w:r>
      <w:r w:rsidR="00365A69">
        <w:t xml:space="preserve"> upon </w:t>
      </w:r>
      <w:r w:rsidR="00B92ED6">
        <w:t>NW's</w:t>
      </w:r>
      <w:r w:rsidR="00365A69">
        <w:t xml:space="preserve"> request. </w:t>
      </w:r>
      <w:r w:rsidR="00053592">
        <w:t xml:space="preserve">From our perspective, based on coarse location </w:t>
      </w:r>
      <w:r w:rsidR="00BD17A4">
        <w:t xml:space="preserve">of UE </w:t>
      </w:r>
      <w:r w:rsidR="00053592">
        <w:t xml:space="preserve">and </w:t>
      </w:r>
      <w:r w:rsidR="00BD17A4">
        <w:t xml:space="preserve">the </w:t>
      </w:r>
      <w:r w:rsidR="00053592">
        <w:t>deployment of the beam hopping</w:t>
      </w:r>
      <w:r w:rsidR="00BD17A4">
        <w:t xml:space="preserve"> pattern of the neighbour cell surrounding the UE as shown in Figure 1</w:t>
      </w:r>
      <w:r w:rsidR="00053592">
        <w:t xml:space="preserve">, NW can decide how to configure each UE’s SMTC configurations correspondingly. </w:t>
      </w:r>
      <w:proofErr w:type="gramStart"/>
      <w:r w:rsidR="00D93422">
        <w:t>So</w:t>
      </w:r>
      <w:proofErr w:type="gramEnd"/>
      <w:r w:rsidR="00D93422">
        <w:t xml:space="preserve"> there is no need for any other enhancement in RRC CONNECTED to address the issue that the SSBs of surrounding cells may be transmitted at different times.</w:t>
      </w:r>
    </w:p>
    <w:bookmarkStart w:id="1" w:name="_GoBack"/>
    <w:p w14:paraId="19B29914" w14:textId="5F6D919C" w:rsidR="00BE1FCB" w:rsidRDefault="006F2506" w:rsidP="006F2506">
      <w:pPr>
        <w:spacing w:after="0" w:line="240" w:lineRule="auto"/>
        <w:jc w:val="center"/>
      </w:pPr>
      <w:r>
        <w:object w:dxaOrig="6251" w:dyaOrig="6621" w14:anchorId="5521C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319.95pt" o:ole="">
            <v:imagedata r:id="rId13" o:title=""/>
          </v:shape>
          <o:OLEObject Type="Embed" ProgID="Visio.Drawing.15" ShapeID="_x0000_i1025" DrawAspect="Content" ObjectID="_1804690303" r:id="rId14"/>
        </w:object>
      </w:r>
      <w:bookmarkEnd w:id="1"/>
    </w:p>
    <w:p w14:paraId="2C87CD7F" w14:textId="2F92B337" w:rsidR="00BD17A4" w:rsidRDefault="00BD17A4" w:rsidP="00BE1FCB">
      <w:pPr>
        <w:spacing w:after="120" w:line="240" w:lineRule="auto"/>
        <w:jc w:val="center"/>
      </w:pPr>
      <w:r>
        <w:t>Figure 1: Active cells are scattered</w:t>
      </w:r>
    </w:p>
    <w:p w14:paraId="57FD0968" w14:textId="44E172C2" w:rsidR="00076321" w:rsidRPr="00053592" w:rsidRDefault="00053592" w:rsidP="00053592">
      <w:pPr>
        <w:spacing w:before="120" w:after="120" w:line="240" w:lineRule="auto"/>
        <w:jc w:val="both"/>
        <w:rPr>
          <w:b/>
          <w:bCs/>
        </w:rPr>
      </w:pPr>
      <w:r w:rsidRPr="00053592">
        <w:rPr>
          <w:b/>
          <w:bCs/>
        </w:rPr>
        <w:t xml:space="preserve">Observation 1: </w:t>
      </w:r>
      <w:r>
        <w:rPr>
          <w:b/>
          <w:bCs/>
        </w:rPr>
        <w:t xml:space="preserve">NW can decide the SMTC configuration for specific UE based on reported UE coarse location and knowledge of the </w:t>
      </w:r>
      <w:r w:rsidR="00D038FA">
        <w:rPr>
          <w:b/>
          <w:bCs/>
        </w:rPr>
        <w:t>beam-hopping</w:t>
      </w:r>
      <w:r>
        <w:rPr>
          <w:b/>
          <w:bCs/>
        </w:rPr>
        <w:t xml:space="preserve"> pattern</w:t>
      </w:r>
      <w:r w:rsidR="00BD17A4">
        <w:rPr>
          <w:b/>
          <w:bCs/>
        </w:rPr>
        <w:t xml:space="preserve"> surrounding the UE</w:t>
      </w:r>
      <w:r>
        <w:rPr>
          <w:b/>
          <w:bCs/>
        </w:rPr>
        <w:t xml:space="preserve">. </w:t>
      </w:r>
    </w:p>
    <w:p w14:paraId="6C53079C" w14:textId="3EB72F12" w:rsidR="00FA2FA7" w:rsidRPr="00B850B9" w:rsidRDefault="00FA2FA7" w:rsidP="00B850B9">
      <w:pPr>
        <w:spacing w:after="120" w:line="240" w:lineRule="auto"/>
        <w:jc w:val="both"/>
        <w:rPr>
          <w:b/>
          <w:bCs/>
        </w:rPr>
      </w:pPr>
      <w:r w:rsidRPr="00B850B9">
        <w:rPr>
          <w:b/>
          <w:bCs/>
        </w:rPr>
        <w:t xml:space="preserve">Proposal 2: </w:t>
      </w:r>
      <w:r>
        <w:rPr>
          <w:b/>
          <w:bCs/>
        </w:rPr>
        <w:t>I</w:t>
      </w:r>
      <w:r w:rsidRPr="007A0440">
        <w:rPr>
          <w:b/>
          <w:bCs/>
        </w:rPr>
        <w:t>f the cells active simultaneously are scattered</w:t>
      </w:r>
      <w:r>
        <w:rPr>
          <w:b/>
          <w:bCs/>
        </w:rPr>
        <w:t xml:space="preserve"> and UE is in CONNECTED state, NW configures the corresponding SMTCs for each UE based on the reported coarse location (No further enhancement is needed).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lastRenderedPageBreak/>
        <w:t>Conclusion</w:t>
      </w:r>
    </w:p>
    <w:p w14:paraId="547B9F24" w14:textId="5AE98A7A"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0B7E46">
        <w:rPr>
          <w:rStyle w:val="IvDbodytextChar"/>
          <w:rFonts w:ascii="Times New Roman" w:hAnsi="Times New Roman" w:cs="Times New Roman"/>
          <w:sz w:val="20"/>
          <w:szCs w:val="20"/>
          <w:lang w:eastAsia="zh-CN"/>
        </w:rPr>
        <w:t>DL coverage aspect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 and </w:t>
      </w:r>
      <w:r w:rsidR="002E25A3" w:rsidRPr="006B6F27">
        <w:rPr>
          <w:rFonts w:ascii="Times New Roman" w:eastAsia="宋体" w:hAnsi="Times New Roman"/>
          <w:lang w:eastAsia="zh-CN"/>
        </w:rPr>
        <w:t>proposals:</w:t>
      </w:r>
    </w:p>
    <w:p w14:paraId="0116A735" w14:textId="49076592" w:rsidR="000C1F10" w:rsidRPr="00053592" w:rsidRDefault="000C1F10" w:rsidP="000C1F10">
      <w:pPr>
        <w:spacing w:before="120" w:after="120" w:line="240" w:lineRule="auto"/>
        <w:jc w:val="both"/>
        <w:rPr>
          <w:b/>
          <w:bCs/>
        </w:rPr>
      </w:pPr>
      <w:r w:rsidRPr="00053592">
        <w:rPr>
          <w:b/>
          <w:bCs/>
        </w:rPr>
        <w:t xml:space="preserve">Observation 1: </w:t>
      </w:r>
      <w:r>
        <w:rPr>
          <w:b/>
          <w:bCs/>
        </w:rPr>
        <w:t xml:space="preserve">NW can decide the SMTC configuration for specific UE based on reported UE coarse location and knowledge of the </w:t>
      </w:r>
      <w:r w:rsidR="00D038FA">
        <w:rPr>
          <w:b/>
          <w:bCs/>
        </w:rPr>
        <w:t>beam-hopping</w:t>
      </w:r>
      <w:r>
        <w:rPr>
          <w:b/>
          <w:bCs/>
        </w:rPr>
        <w:t xml:space="preserve"> pattern surrounding the UE. </w:t>
      </w:r>
    </w:p>
    <w:p w14:paraId="3FD51A84" w14:textId="4FBE8462" w:rsidR="00D038FA" w:rsidRDefault="000C1F10" w:rsidP="00B850B9">
      <w:pPr>
        <w:spacing w:after="120" w:line="240" w:lineRule="auto"/>
        <w:jc w:val="both"/>
        <w:rPr>
          <w:b/>
          <w:bCs/>
        </w:rPr>
      </w:pPr>
      <w:r w:rsidRPr="007A0440">
        <w:rPr>
          <w:b/>
          <w:bCs/>
        </w:rPr>
        <w:t xml:space="preserve">Proposal 1: </w:t>
      </w:r>
      <w:r>
        <w:rPr>
          <w:b/>
          <w:bCs/>
        </w:rPr>
        <w:t>If RAN2 decide</w:t>
      </w:r>
      <w:r w:rsidR="00EF1BBB">
        <w:rPr>
          <w:b/>
          <w:bCs/>
        </w:rPr>
        <w:t>s</w:t>
      </w:r>
      <w:r>
        <w:rPr>
          <w:b/>
          <w:bCs/>
        </w:rPr>
        <w:t xml:space="preserve"> to extend the number of SMTC, RAN2 send LS to check with RAN4 </w:t>
      </w:r>
      <w:r w:rsidR="00D038FA">
        <w:rPr>
          <w:b/>
          <w:bCs/>
        </w:rPr>
        <w:t>whether</w:t>
      </w:r>
      <w:r>
        <w:rPr>
          <w:b/>
          <w:bCs/>
        </w:rPr>
        <w:t xml:space="preserve"> the enhancement can be done in R19.</w:t>
      </w:r>
    </w:p>
    <w:p w14:paraId="645005A7" w14:textId="04EFDB3E" w:rsidR="007C35B9" w:rsidRPr="00B850B9" w:rsidRDefault="00B850B9" w:rsidP="00B850B9">
      <w:pPr>
        <w:spacing w:after="120" w:line="240" w:lineRule="auto"/>
        <w:jc w:val="both"/>
        <w:rPr>
          <w:b/>
          <w:bCs/>
        </w:rPr>
      </w:pPr>
      <w:r w:rsidRPr="00B850B9">
        <w:rPr>
          <w:b/>
          <w:bCs/>
        </w:rPr>
        <w:t xml:space="preserve">Proposal 2: </w:t>
      </w:r>
      <w:r>
        <w:rPr>
          <w:b/>
          <w:bCs/>
        </w:rPr>
        <w:t>I</w:t>
      </w:r>
      <w:r w:rsidRPr="007A0440">
        <w:rPr>
          <w:b/>
          <w:bCs/>
        </w:rPr>
        <w:t>f the cells active simultaneously are scattered</w:t>
      </w:r>
      <w:r>
        <w:rPr>
          <w:b/>
          <w:bCs/>
        </w:rPr>
        <w:t xml:space="preserve"> and UE is in CONNECTED state, NW configures the corresponding SMTCs for each UE based on the reported coarse location</w:t>
      </w:r>
      <w:r w:rsidR="00BA3ADE">
        <w:rPr>
          <w:b/>
          <w:bCs/>
        </w:rPr>
        <w:t xml:space="preserve"> (N</w:t>
      </w:r>
      <w:r>
        <w:rPr>
          <w:b/>
          <w:bCs/>
        </w:rPr>
        <w:t>o further enhancement is needed</w:t>
      </w:r>
      <w:r w:rsidR="00BA3ADE">
        <w:rPr>
          <w:b/>
          <w:bCs/>
        </w:rPr>
        <w:t>)</w:t>
      </w:r>
      <w:r>
        <w:rPr>
          <w:b/>
          <w:bCs/>
        </w:rPr>
        <w:t xml:space="preserve">.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3AF0B2DA" w14:textId="5B4D033A" w:rsidR="009D7C35" w:rsidRDefault="0046529B"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w:t>
      </w:r>
      <w:r w:rsidR="007C35B9">
        <w:rPr>
          <w:rFonts w:eastAsia="宋体" w:cs="Arial"/>
          <w:bCs/>
          <w:lang w:eastAsia="zh-CN"/>
        </w:rPr>
        <w:t>9</w:t>
      </w:r>
      <w:r w:rsidRPr="0046529B">
        <w:rPr>
          <w:rFonts w:eastAsia="宋体" w:cs="Arial"/>
          <w:bCs/>
          <w:lang w:eastAsia="zh-CN"/>
        </w:rPr>
        <w:t>_Meeting_Report_v1</w:t>
      </w:r>
      <w:r w:rsidR="009D7C35">
        <w:rPr>
          <w:rFonts w:eastAsia="宋体" w:cs="Arial"/>
          <w:bCs/>
          <w:lang w:eastAsia="zh-CN"/>
        </w:rPr>
        <w:t>.</w:t>
      </w:r>
    </w:p>
    <w:p w14:paraId="3481B28B" w14:textId="6ADF82DA" w:rsidR="002D1AA3" w:rsidRDefault="00D37458"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D37458">
        <w:rPr>
          <w:rFonts w:eastAsia="宋体" w:cs="Arial"/>
          <w:bCs/>
          <w:lang w:eastAsia="zh-CN"/>
        </w:rPr>
        <w:t>R2-2501415</w:t>
      </w:r>
      <w:r w:rsidRPr="00D37458">
        <w:rPr>
          <w:rFonts w:eastAsia="宋体" w:cs="Arial"/>
          <w:bCs/>
          <w:lang w:eastAsia="zh-CN"/>
        </w:rPr>
        <w:tab/>
        <w:t>Report of [AT</w:t>
      </w:r>
      <w:proofErr w:type="gramStart"/>
      <w:r w:rsidRPr="00D37458">
        <w:rPr>
          <w:rFonts w:eastAsia="宋体" w:cs="Arial"/>
          <w:bCs/>
          <w:lang w:eastAsia="zh-CN"/>
        </w:rPr>
        <w:t>129][</w:t>
      </w:r>
      <w:proofErr w:type="gramEnd"/>
      <w:r w:rsidRPr="00D37458">
        <w:rPr>
          <w:rFonts w:eastAsia="宋体" w:cs="Arial"/>
          <w:bCs/>
          <w:lang w:eastAsia="zh-CN"/>
        </w:rPr>
        <w:t>304][R19 NR NTN] LS to RAN1 on DL coverage enhancements</w:t>
      </w:r>
      <w:r w:rsidRPr="00D37458">
        <w:rPr>
          <w:rFonts w:eastAsia="宋体" w:cs="Arial"/>
          <w:bCs/>
          <w:lang w:eastAsia="zh-CN"/>
        </w:rPr>
        <w:tab/>
        <w:t>Huawei</w:t>
      </w:r>
      <w:r>
        <w:rPr>
          <w:rFonts w:eastAsia="宋体" w:cs="Arial"/>
          <w:bCs/>
          <w:lang w:eastAsia="zh-CN"/>
        </w:rPr>
        <w:t xml:space="preserve"> </w:t>
      </w:r>
      <w:r w:rsidRPr="00D37458">
        <w:rPr>
          <w:rFonts w:eastAsia="宋体" w:cs="Arial"/>
          <w:bCs/>
          <w:lang w:eastAsia="zh-CN"/>
        </w:rPr>
        <w:t>discussion</w:t>
      </w:r>
      <w:r w:rsidRPr="00D37458">
        <w:rPr>
          <w:rFonts w:eastAsia="宋体" w:cs="Arial"/>
          <w:bCs/>
          <w:lang w:eastAsia="zh-CN"/>
        </w:rPr>
        <w:tab/>
      </w:r>
      <w:r>
        <w:rPr>
          <w:rFonts w:eastAsia="宋体" w:cs="Arial"/>
          <w:bCs/>
          <w:lang w:eastAsia="zh-CN"/>
        </w:rPr>
        <w:t xml:space="preserve"> </w:t>
      </w:r>
      <w:r w:rsidRPr="00D37458">
        <w:rPr>
          <w:rFonts w:eastAsia="宋体" w:cs="Arial"/>
          <w:bCs/>
          <w:lang w:eastAsia="zh-CN"/>
        </w:rPr>
        <w:t>Rel-19</w:t>
      </w:r>
      <w:r w:rsidRPr="00D37458">
        <w:rPr>
          <w:rFonts w:eastAsia="宋体" w:cs="Arial"/>
          <w:bCs/>
          <w:lang w:eastAsia="zh-CN"/>
        </w:rPr>
        <w:tab/>
        <w:t>NR_NTN_Ph3-Core</w:t>
      </w:r>
    </w:p>
    <w:p w14:paraId="3C2F3171" w14:textId="4F06F8EE" w:rsidR="0046529B" w:rsidRPr="00D37458" w:rsidRDefault="000226F3" w:rsidP="00D37458">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 Evolved Universal Terrestrial Radio Access (E-UTRA); Radio Resource Control (RRC); Protocol specification</w:t>
      </w:r>
      <w:r w:rsidR="0046529B">
        <w:rPr>
          <w:rFonts w:eastAsia="宋体" w:cs="Arial"/>
          <w:bCs/>
          <w:lang w:eastAsia="zh-CN"/>
        </w:rPr>
        <w:t>.</w:t>
      </w:r>
    </w:p>
    <w:sectPr w:rsidR="0046529B" w:rsidRPr="00D37458">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9FCA5" w14:textId="77777777" w:rsidR="00B56829" w:rsidRDefault="00B56829">
      <w:pPr>
        <w:spacing w:after="0" w:line="240" w:lineRule="auto"/>
      </w:pPr>
      <w:r>
        <w:separator/>
      </w:r>
    </w:p>
  </w:endnote>
  <w:endnote w:type="continuationSeparator" w:id="0">
    <w:p w14:paraId="4B3318A7" w14:textId="77777777" w:rsidR="00B56829" w:rsidRDefault="00B56829">
      <w:pPr>
        <w:spacing w:after="0" w:line="240" w:lineRule="auto"/>
      </w:pPr>
      <w:r>
        <w:continuationSeparator/>
      </w:r>
    </w:p>
  </w:endnote>
  <w:endnote w:type="continuationNotice" w:id="1">
    <w:p w14:paraId="42D60673" w14:textId="77777777" w:rsidR="00B56829" w:rsidRDefault="00B568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D1411" w14:textId="77777777" w:rsidR="00B56829" w:rsidRDefault="00B56829">
      <w:pPr>
        <w:spacing w:after="0" w:line="240" w:lineRule="auto"/>
      </w:pPr>
      <w:r>
        <w:separator/>
      </w:r>
    </w:p>
  </w:footnote>
  <w:footnote w:type="continuationSeparator" w:id="0">
    <w:p w14:paraId="2049E489" w14:textId="77777777" w:rsidR="00B56829" w:rsidRDefault="00B56829">
      <w:pPr>
        <w:spacing w:after="0" w:line="240" w:lineRule="auto"/>
      </w:pPr>
      <w:r>
        <w:continuationSeparator/>
      </w:r>
    </w:p>
  </w:footnote>
  <w:footnote w:type="continuationNotice" w:id="1">
    <w:p w14:paraId="6ABDF8FA" w14:textId="77777777" w:rsidR="00B56829" w:rsidRDefault="00B568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9"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0"/>
  </w:num>
  <w:num w:numId="4">
    <w:abstractNumId w:val="9"/>
  </w:num>
  <w:num w:numId="5">
    <w:abstractNumId w:val="6"/>
  </w:num>
  <w:num w:numId="6">
    <w:abstractNumId w:val="20"/>
  </w:num>
  <w:num w:numId="7">
    <w:abstractNumId w:val="25"/>
  </w:num>
  <w:num w:numId="8">
    <w:abstractNumId w:val="17"/>
  </w:num>
  <w:num w:numId="9">
    <w:abstractNumId w:val="16"/>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8"/>
  </w:num>
  <w:num w:numId="19">
    <w:abstractNumId w:val="14"/>
  </w:num>
  <w:num w:numId="20">
    <w:abstractNumId w:val="24"/>
  </w:num>
  <w:num w:numId="21">
    <w:abstractNumId w:val="28"/>
  </w:num>
  <w:num w:numId="22">
    <w:abstractNumId w:val="10"/>
  </w:num>
  <w:num w:numId="23">
    <w:abstractNumId w:val="22"/>
  </w:num>
  <w:num w:numId="24">
    <w:abstractNumId w:val="3"/>
  </w:num>
  <w:num w:numId="25">
    <w:abstractNumId w:val="2"/>
  </w:num>
  <w:num w:numId="26">
    <w:abstractNumId w:val="11"/>
  </w:num>
  <w:num w:numId="27">
    <w:abstractNumId w:val="13"/>
  </w:num>
  <w:num w:numId="28">
    <w:abstractNumId w:val="4"/>
  </w:num>
  <w:num w:numId="29">
    <w:abstractNumId w:val="19"/>
  </w:num>
  <w:num w:numId="30">
    <w:abstractNumId w:val="7"/>
  </w:num>
  <w:num w:numId="31">
    <w:abstractNumId w:val="23"/>
  </w:num>
  <w:num w:numId="32">
    <w:abstractNumId w:val="8"/>
  </w:num>
  <w:num w:numId="33">
    <w:abstractNumId w:val="5"/>
  </w:num>
  <w:num w:numId="34">
    <w:abstractNumId w:val="27"/>
  </w:num>
  <w:num w:numId="35">
    <w:abstractNumId w:val="15"/>
  </w:num>
  <w:num w:numId="36">
    <w:abstractNumId w:val="29"/>
  </w:num>
  <w:num w:numId="37">
    <w:abstractNumId w:val="12"/>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0A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EA4"/>
    <w:rsid w:val="000C111D"/>
    <w:rsid w:val="000C1631"/>
    <w:rsid w:val="000C19A4"/>
    <w:rsid w:val="000C1AD7"/>
    <w:rsid w:val="000C1D38"/>
    <w:rsid w:val="000C1F10"/>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6813"/>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5F31"/>
    <w:rsid w:val="0030659C"/>
    <w:rsid w:val="003068E9"/>
    <w:rsid w:val="00306A98"/>
    <w:rsid w:val="00306C57"/>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A4A"/>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0E6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AB"/>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50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3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04B"/>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7B8"/>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DB6"/>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A9C"/>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AA6"/>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6E99"/>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5FA9"/>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ADE"/>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7A4"/>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1FCB"/>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BF7EDD"/>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B4E"/>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6FBD"/>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B7CED"/>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8FA"/>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B42"/>
    <w:rsid w:val="00D36D6E"/>
    <w:rsid w:val="00D36E2F"/>
    <w:rsid w:val="00D37228"/>
    <w:rsid w:val="00D3745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5A4"/>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2EC5"/>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1BBB"/>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375"/>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2FA7"/>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063"/>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purl.org/dc/dcmitype/"/>
    <ds:schemaRef ds:uri="98194d48-cc26-4b7e-909f-baa95c83abfa"/>
    <ds:schemaRef ds:uri="http://schemas.microsoft.com/office/infopath/2007/PartnerControls"/>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CC4A2D7E-D5A4-4CA9-B2FD-409508B35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6016</Characters>
  <Application>Microsoft Office Word</Application>
  <DocSecurity>0</DocSecurity>
  <Lines>50</Lines>
  <Paragraphs>14</Paragraphs>
  <ScaleCrop>false</ScaleCrop>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